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2650"/>
        <w:gridCol w:w="2674"/>
      </w:tblGrid>
      <w:tr w:rsidR="00EF1B59" w:rsidRPr="00EF1B59" w:rsidTr="00EF1B59">
        <w:trPr>
          <w:tblCellSpacing w:w="15" w:type="dxa"/>
        </w:trPr>
        <w:tc>
          <w:tcPr>
            <w:tcW w:w="16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Структура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витрат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proofErr w:type="gram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послуги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  з</w:t>
            </w:r>
            <w:proofErr w:type="gram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централізованого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водопостачання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централізованого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водовідведення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Вишгородського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МКП "Водоканал" на 2020р.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Складові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тарифа</w:t>
            </w:r>
          </w:p>
        </w:tc>
        <w:tc>
          <w:tcPr>
            <w:tcW w:w="8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грн./ 1м3 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Водовідведення</w:t>
            </w:r>
            <w:proofErr w:type="spellEnd"/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1.Виробнича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собівартість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усього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, в тому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числі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11,54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11,46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1.1.Прямі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матеріальні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, у тому </w:t>
            </w:r>
            <w:proofErr w:type="spellStart"/>
            <w:proofErr w:type="gram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числі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 :</w:t>
            </w:r>
            <w:proofErr w:type="gram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4,88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5,62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1.1.1.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Матеріали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запасні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частини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інші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матеріальні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ресурси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0,51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1.1.2.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Паливо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паливно-мастильні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матеріали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0,17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1.1.3.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4,30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0,98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1.1.4.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Київводоканал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очистка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стоків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3,96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1.2.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Прямі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на оплату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праці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3,09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1.3.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Інші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прямі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, з них 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2,81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1,88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1.3.1.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єдиний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внесок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загальнообовязкове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соціальне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страхування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працівників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0,62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0,66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1.3.2.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амортизаційні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відрахування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1,06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1.3.3.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інші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прямі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1,41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0,16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податки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0,79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1.4.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загальновиробничі</w:t>
            </w:r>
            <w:proofErr w:type="spellEnd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0,87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0,87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2.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Адміністративні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1,67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1,67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збут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0,06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0,06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4.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Інші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операційної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діяльності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0,01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Всього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витрати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операційної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діяльності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13,28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13,20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6.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Рентабельність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0,00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10. Тариф без ПДВ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13,28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13,20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11. ПДВ 20 %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2,66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2,64</w:t>
            </w:r>
          </w:p>
        </w:tc>
      </w:tr>
      <w:tr w:rsidR="00EF1B59" w:rsidRPr="00EF1B59" w:rsidTr="00EF1B59">
        <w:trPr>
          <w:tblCellSpacing w:w="15" w:type="dxa"/>
        </w:trPr>
        <w:tc>
          <w:tcPr>
            <w:tcW w:w="7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12. </w:t>
            </w:r>
            <w:proofErr w:type="spellStart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>Розмір</w:t>
            </w:r>
            <w:proofErr w:type="spellEnd"/>
            <w:r w:rsidRPr="00EF1B59">
              <w:rPr>
                <w:rFonts w:ascii="Verdana" w:eastAsia="Times New Roman" w:hAnsi="Verdana" w:cs="Tahoma"/>
                <w:b/>
                <w:bCs/>
                <w:color w:val="333333"/>
                <w:sz w:val="21"/>
                <w:szCs w:val="21"/>
                <w:lang w:eastAsia="ru-RU"/>
              </w:rPr>
              <w:t xml:space="preserve"> тарифа з ПДВ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15,94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B59" w:rsidRPr="00EF1B59" w:rsidRDefault="00EF1B59" w:rsidP="00EF1B59">
            <w:pPr>
              <w:spacing w:after="0" w:line="240" w:lineRule="auto"/>
              <w:jc w:val="center"/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</w:pPr>
            <w:r w:rsidRPr="00EF1B59">
              <w:rPr>
                <w:rFonts w:ascii="Verdana" w:eastAsia="Times New Roman" w:hAnsi="Verdana" w:cs="Tahoma"/>
                <w:color w:val="333333"/>
                <w:sz w:val="21"/>
                <w:szCs w:val="21"/>
                <w:lang w:eastAsia="ru-RU"/>
              </w:rPr>
              <w:t>15,84</w:t>
            </w:r>
          </w:p>
        </w:tc>
      </w:tr>
    </w:tbl>
    <w:p w:rsidR="00FC51D6" w:rsidRDefault="00FC51D6">
      <w:bookmarkStart w:id="0" w:name="_GoBack"/>
      <w:bookmarkEnd w:id="0"/>
    </w:p>
    <w:sectPr w:rsidR="00FC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4C"/>
    <w:rsid w:val="0054024C"/>
    <w:rsid w:val="00EF1B59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6F7CD-FF74-4180-AE64-78C6A95A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Ekonom-T</dc:creator>
  <cp:keywords/>
  <dc:description/>
  <cp:lastModifiedBy>Ekonom-T</cp:lastModifiedBy>
  <cp:revision>2</cp:revision>
  <dcterms:created xsi:type="dcterms:W3CDTF">2022-01-26T12:07:00Z</dcterms:created>
  <dcterms:modified xsi:type="dcterms:W3CDTF">2022-01-26T12:07:00Z</dcterms:modified>
</cp:coreProperties>
</file>